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F9" w:rsidRDefault="001F4AF9" w:rsidP="009B60DE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Лекция №</w:t>
      </w:r>
      <w:r w:rsidR="00762E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64-67</w:t>
      </w:r>
    </w:p>
    <w:p w:rsidR="00762EA0" w:rsidRDefault="00762EA0" w:rsidP="009B60DE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План:</w:t>
      </w:r>
    </w:p>
    <w:p w:rsidR="00762EA0" w:rsidRDefault="00762EA0" w:rsidP="00762EA0">
      <w:pPr>
        <w:pStyle w:val="a5"/>
        <w:numPr>
          <w:ilvl w:val="0"/>
          <w:numId w:val="3"/>
        </w:num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Изучить лекцию</w:t>
      </w:r>
    </w:p>
    <w:p w:rsidR="00762EA0" w:rsidRDefault="00762EA0" w:rsidP="00762EA0">
      <w:pPr>
        <w:pStyle w:val="a5"/>
        <w:numPr>
          <w:ilvl w:val="0"/>
          <w:numId w:val="3"/>
        </w:num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Законспектировать лекцию и страницы 30-32 из «Иллюстрированного пособия сварщика» (отдельно отправляю на почту)</w:t>
      </w:r>
    </w:p>
    <w:p w:rsidR="0004023D" w:rsidRDefault="0004023D" w:rsidP="00762EA0">
      <w:pPr>
        <w:pStyle w:val="a5"/>
        <w:numPr>
          <w:ilvl w:val="0"/>
          <w:numId w:val="3"/>
        </w:num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Изучить и законспектировать страницы 28-29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из «Иллюстрированного пособия сварщика»</w:t>
      </w:r>
    </w:p>
    <w:p w:rsidR="00762EA0" w:rsidRDefault="00762EA0" w:rsidP="00762EA0">
      <w:pPr>
        <w:pStyle w:val="a5"/>
        <w:numPr>
          <w:ilvl w:val="0"/>
          <w:numId w:val="3"/>
        </w:num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Ответить на вопросы:</w:t>
      </w:r>
    </w:p>
    <w:p w:rsidR="00762EA0" w:rsidRDefault="00762EA0" w:rsidP="00762EA0">
      <w:pPr>
        <w:pStyle w:val="a5"/>
        <w:numPr>
          <w:ilvl w:val="0"/>
          <w:numId w:val="4"/>
        </w:num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заполняются короткие швы</w:t>
      </w:r>
    </w:p>
    <w:p w:rsidR="00762EA0" w:rsidRDefault="00762EA0" w:rsidP="00762EA0">
      <w:pPr>
        <w:pStyle w:val="a5"/>
        <w:numPr>
          <w:ilvl w:val="0"/>
          <w:numId w:val="4"/>
        </w:num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заполняются средние швы</w:t>
      </w:r>
    </w:p>
    <w:p w:rsidR="00762EA0" w:rsidRDefault="00762EA0" w:rsidP="00762EA0">
      <w:pPr>
        <w:pStyle w:val="a5"/>
        <w:numPr>
          <w:ilvl w:val="0"/>
          <w:numId w:val="4"/>
        </w:num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заполняются длинные швы</w:t>
      </w:r>
    </w:p>
    <w:p w:rsidR="00762EA0" w:rsidRDefault="00762EA0" w:rsidP="00762EA0">
      <w:pPr>
        <w:pStyle w:val="a5"/>
        <w:numPr>
          <w:ilvl w:val="0"/>
          <w:numId w:val="4"/>
        </w:num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заполняются швы то</w:t>
      </w:r>
      <w:r w:rsidR="00B948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кого металла</w:t>
      </w:r>
    </w:p>
    <w:p w:rsidR="00B94888" w:rsidRDefault="00B94888" w:rsidP="00B94888">
      <w:pPr>
        <w:pStyle w:val="a5"/>
        <w:numPr>
          <w:ilvl w:val="0"/>
          <w:numId w:val="4"/>
        </w:num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заполняются швы толстого металла</w:t>
      </w:r>
    </w:p>
    <w:p w:rsidR="0004023D" w:rsidRPr="0004023D" w:rsidRDefault="0004023D" w:rsidP="0004023D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02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Для полного освоения теоретической части указанной темы необходимо использовать учебный материал электронной библиотеки (ЭБС) </w:t>
      </w:r>
      <w:proofErr w:type="spellStart"/>
      <w:r w:rsidRPr="000402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IPRBooks</w:t>
      </w:r>
      <w:proofErr w:type="spellEnd"/>
      <w:r w:rsidRPr="000402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04023D" w:rsidRPr="0004023D" w:rsidRDefault="0004023D" w:rsidP="0004023D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02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Литература </w:t>
      </w:r>
    </w:p>
    <w:p w:rsidR="0004023D" w:rsidRPr="0004023D" w:rsidRDefault="0004023D" w:rsidP="0004023D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02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Адреса сайтов (книг) </w:t>
      </w:r>
    </w:p>
    <w:p w:rsidR="0004023D" w:rsidRPr="0004023D" w:rsidRDefault="0004023D" w:rsidP="0004023D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02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http://www.iprbookshop.ru/20129.html</w:t>
      </w:r>
    </w:p>
    <w:p w:rsidR="00B94888" w:rsidRDefault="0004023D" w:rsidP="0004023D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6" w:history="1">
        <w:r w:rsidRPr="0095156B">
          <w:rPr>
            <w:rStyle w:val="a6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http://www.iprbookshop.ru/epd-reader?publicationId=34726</w:t>
        </w:r>
      </w:hyperlink>
    </w:p>
    <w:p w:rsidR="0004023D" w:rsidRDefault="0004023D" w:rsidP="0004023D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94888" w:rsidRPr="00B94888" w:rsidRDefault="00B94888" w:rsidP="00B94888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Лекция</w:t>
      </w:r>
    </w:p>
    <w:p w:rsidR="009B60DE" w:rsidRPr="001F4AF9" w:rsidRDefault="009B60DE" w:rsidP="009B60DE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B60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Техника ручной дуговой сварки покрытыми электродами</w:t>
      </w:r>
    </w:p>
    <w:p w:rsidR="009B60DE" w:rsidRPr="009B60DE" w:rsidRDefault="009B60DE" w:rsidP="009B60DE">
      <w:pPr>
        <w:shd w:val="clear" w:color="auto" w:fill="FFFFFF"/>
        <w:spacing w:before="30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зажигания сварочной дуги</w:t>
      </w:r>
    </w:p>
    <w:p w:rsidR="009B60DE" w:rsidRPr="009B60DE" w:rsidRDefault="009B60DE" w:rsidP="009B60D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Сварочная дуга возбуждается </w:t>
      </w:r>
      <w:proofErr w:type="gramStart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прикосновением</w:t>
      </w:r>
      <w:proofErr w:type="gramEnd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электрода к детали. Происходит короткое замыкание, конец электрода нагревается до высокой </w:t>
      </w:r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температуры. После отрыва электрода от изделия происходит ионизация газового промежутка и загорается сварочная дуга.</w:t>
      </w:r>
    </w:p>
    <w:p w:rsidR="009B60DE" w:rsidRPr="001F4AF9" w:rsidRDefault="009B60DE" w:rsidP="009B60D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Зажигание сварочной дуги можно производить двумя основными способами. Тычком — электродом прикасаются к свариваемой детали и быстро отводят назад, на расстояние в несколько миллиметров, как </w:t>
      </w:r>
      <w:proofErr w:type="gramStart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proofErr w:type="gramEnd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равное диаметру электрода. Этот способ наиболее простой, но имеется большая вероятность «прилипания» </w:t>
      </w:r>
      <w:proofErr w:type="gramStart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электрода</w:t>
      </w:r>
      <w:proofErr w:type="gramEnd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сварщик не успел своевременно отвезти электрод от поверхности металла. Чирканьем — электродом как спичкой чиркают по металлу и также быстро отводят на расстояние в несколько миллиметров. Конец электрода трется о металл и во время движения возбуждается сварочная дуга. Недостаток этого метода в сложности точно попасть в разделку шва или ранее наплавлены валик. Как </w:t>
      </w:r>
      <w:proofErr w:type="gramStart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</w:t>
      </w:r>
      <w:proofErr w:type="gramEnd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зажигать дугу на основном металле нельзя.</w:t>
      </w:r>
    </w:p>
    <w:p w:rsidR="009B60DE" w:rsidRPr="009B60DE" w:rsidRDefault="009B60DE" w:rsidP="009B60D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</w:t>
      </w:r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Контакт электрода с металлом должен быть кратковременным иначе электрод «прилипнет». Отрывать </w:t>
      </w:r>
      <w:proofErr w:type="spellStart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приплавившейся</w:t>
      </w:r>
      <w:proofErr w:type="spellEnd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сварочный электрод нужно, резким, сильным движением поворачивая его в стороны. Сварочный электрод нельзя отводить слишком далеко от </w:t>
      </w:r>
      <w:proofErr w:type="gramStart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свариваемого</w:t>
      </w:r>
      <w:proofErr w:type="gramEnd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материла иначе дуга не зажжется. </w:t>
      </w:r>
    </w:p>
    <w:p w:rsidR="009B60DE" w:rsidRPr="009B60DE" w:rsidRDefault="009B60DE" w:rsidP="009B60D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Перемещение дуги должно </w:t>
      </w:r>
      <w:proofErr w:type="gramStart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proofErr w:type="gramEnd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чтобы обеспечить расплавление свариваемых кромок и плотное формирование сварного шва. Это возможно </w:t>
      </w:r>
      <w:proofErr w:type="gramStart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поддержания необходимой длины дуги и правильной техники сварки.</w:t>
      </w:r>
    </w:p>
    <w:p w:rsidR="009B60DE" w:rsidRPr="009B60DE" w:rsidRDefault="009B60DE" w:rsidP="009B60DE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Длина сварочной дуги</w:t>
      </w:r>
    </w:p>
    <w:p w:rsidR="009B60DE" w:rsidRPr="009B60DE" w:rsidRDefault="009B60DE" w:rsidP="009B60D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Длина дуги являться важным теологическим параметром процесса сварки. От нее зависит качество формирования шва, защита сварочной ванны, величина разбрызгивание металла, величина </w:t>
      </w:r>
      <w:proofErr w:type="spellStart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тепловложения</w:t>
      </w:r>
      <w:proofErr w:type="spellEnd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B60DE" w:rsidRPr="009B60DE" w:rsidRDefault="009B60DE" w:rsidP="009B6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Сварочная дуга</w:t>
      </w:r>
    </w:p>
    <w:p w:rsidR="009B60DE" w:rsidRPr="009B60DE" w:rsidRDefault="009B60DE" w:rsidP="009B60D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вида покрытия электродов в процессе сварки необходимо поддерживать дугу определенного размера. Как </w:t>
      </w:r>
      <w:proofErr w:type="gramStart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proofErr w:type="gramEnd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0,5 до 1,5 диаметра покрытого электрода. При сварке электродами с основным видом покрытия следует производить сварку на как можно короткой дуге, не более диаметра электрода. При сварке слишком длинной дугой, </w:t>
      </w:r>
      <w:proofErr w:type="spellStart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горение становится неустойчивым, идет сильное разбрызгивание металла, ухудшаться защита сварочной ванны. Длинная дуга способствует более интенсивному окислению и азотированию расплавляемого металла, а при сварке покрытыми электродами с основным видом покрытия приводит к образованию пор. При короткой дуге обеспечивается </w:t>
      </w:r>
      <w:proofErr w:type="gramStart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 капельный</w:t>
      </w:r>
      <w:proofErr w:type="gramEnd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перенос металла, что обеспечивает более качественный процесс сварки. Поддержание сварочной дуги нужной длины один из ключевых показателей техники сварки.</w:t>
      </w:r>
    </w:p>
    <w:p w:rsidR="009B60DE" w:rsidRPr="009B60DE" w:rsidRDefault="009B60DE" w:rsidP="009B60D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0DE" w:rsidRPr="009B60DE" w:rsidRDefault="009B60DE" w:rsidP="001F4AF9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B60D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Наклон электрода</w:t>
      </w:r>
    </w:p>
    <w:p w:rsidR="009B60DE" w:rsidRPr="009B60DE" w:rsidRDefault="009B60DE" w:rsidP="009B60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6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Основное положение электрода — наклоненное чуть к себе — на угол от 30° до 60° (смотрите рисунок). Величину наклона подбирают в зависимости от необходимого сварного шва и от выставленного тока. Ориентируются на состояние сварной ванны.</w:t>
      </w:r>
    </w:p>
    <w:p w:rsidR="009B60DE" w:rsidRPr="009B60DE" w:rsidRDefault="009B60DE" w:rsidP="009B60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6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Первое положение называется «углом назад». В этом случае ванна и расплавленный шлак движется за кончиком электрода. Его угол наклона и скорость движения должны быть такими, чтобы шлак успевал накрывать расплавленный металл. В таком положении получаем прогрев металла на большую глубину.</w:t>
      </w:r>
    </w:p>
    <w:p w:rsidR="009B60DE" w:rsidRPr="009B60DE" w:rsidRDefault="009B60DE" w:rsidP="009B6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60DE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0A7EE2A5" wp14:editId="40C99C9F">
            <wp:extent cx="5715000" cy="2444115"/>
            <wp:effectExtent l="0" t="0" r="0" b="0"/>
            <wp:docPr id="3" name="Рисунок 3" descr="Техника ручной дуговой сварки: положение электрод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хника ручной дуговой сварки: положение электрод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0DE" w:rsidRPr="009B60DE" w:rsidRDefault="009B60DE" w:rsidP="009B60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BA800"/>
          <w:sz w:val="28"/>
          <w:szCs w:val="28"/>
          <w:lang w:eastAsia="ru-RU"/>
        </w:rPr>
      </w:pPr>
      <w:r w:rsidRPr="009B60DE">
        <w:rPr>
          <w:rFonts w:ascii="Times New Roman" w:eastAsia="Times New Roman" w:hAnsi="Times New Roman" w:cs="Times New Roman"/>
          <w:b/>
          <w:bCs/>
          <w:i/>
          <w:iCs/>
          <w:color w:val="6BA800"/>
          <w:sz w:val="28"/>
          <w:szCs w:val="28"/>
          <w:lang w:eastAsia="ru-RU"/>
        </w:rPr>
        <w:t>Техника ручной дуговой сварки: положение электрода углом вперед и углом назад</w:t>
      </w:r>
    </w:p>
    <w:p w:rsidR="009B60DE" w:rsidRPr="009B60DE" w:rsidRDefault="009B60DE" w:rsidP="009B60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6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Бывают ситуации, когда металл сильно разогревать не нужно. </w:t>
      </w:r>
      <w:proofErr w:type="gramStart"/>
      <w:r w:rsidRPr="009B6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Тогда угол наклона меняется на противоположный, шов и ванна «тянутся» за электродом.</w:t>
      </w:r>
      <w:proofErr w:type="gramEnd"/>
      <w:r w:rsidRPr="009B6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этом случае глубина прогрева получается минимальной.</w:t>
      </w:r>
    </w:p>
    <w:p w:rsidR="009B60DE" w:rsidRPr="009B60DE" w:rsidRDefault="009B60DE" w:rsidP="009B60DE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Движение электрода при ручной дуговой сварке</w:t>
      </w:r>
    </w:p>
    <w:p w:rsidR="009B60DE" w:rsidRPr="009B60DE" w:rsidRDefault="009B60DE" w:rsidP="009B60D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1F4AF9" w:rsidRPr="001F4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сварки электрод движется в трех</w:t>
      </w:r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направлениях.</w:t>
      </w:r>
    </w:p>
    <w:p w:rsidR="009B60DE" w:rsidRPr="009B60DE" w:rsidRDefault="009B60DE" w:rsidP="009B60D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 </w:t>
      </w:r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подача электрода в сварочную ванну. По мере плавления электрода его длина уменьшается, а длина дуги увеличивается. Для поддержания заданной длины дуги электрод равномерно двигают вдоль оси в сварочную ванну. Таким </w:t>
      </w:r>
      <w:proofErr w:type="gramStart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поддерживается определенная длина дуги. Важность контроля длины дуги рассмотрено выше.</w:t>
      </w:r>
    </w:p>
    <w:p w:rsidR="009B60DE" w:rsidRPr="009B60DE" w:rsidRDefault="009B60DE" w:rsidP="009B60D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Второе </w:t>
      </w:r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движение электрода вдоль свариваемых кромок. Скорость перемещения выбирается сварщиков в зависимости от величины сварочного тока, толщины металла и диаметра электрода по мере заполнения разделки.</w:t>
      </w:r>
    </w:p>
    <w:p w:rsidR="009B60DE" w:rsidRPr="009B60DE" w:rsidRDefault="009B60DE" w:rsidP="009B60D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</w:t>
      </w:r>
      <w:proofErr w:type="gramStart"/>
      <w:r w:rsidRPr="009B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1F4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поперечные</w:t>
      </w:r>
      <w:r w:rsidR="001F4AF9" w:rsidRPr="001F4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колебания электрода, производится для</w:t>
      </w:r>
      <w:r w:rsidRPr="001F4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 разделки по ширине шва. От</w:t>
      </w:r>
      <w:r w:rsidRPr="001F4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этих движений зависит формирование</w:t>
      </w:r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шва, отсутствие дефектов, </w:t>
      </w:r>
      <w:proofErr w:type="spellStart"/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несплавлений</w:t>
      </w:r>
      <w:proofErr w:type="spellEnd"/>
      <w:r w:rsidRPr="001F4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подрезов.</w:t>
      </w:r>
    </w:p>
    <w:p w:rsidR="009B60DE" w:rsidRPr="001F4AF9" w:rsidRDefault="009B60DE" w:rsidP="009B60D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три движения образуют определенную траекторию перемещения электрода. В зависимости от толщины металла, пространственного положения и двигательных навыков сварщика траектории движения электрода могут быть различны</w:t>
      </w:r>
    </w:p>
    <w:p w:rsidR="009B60DE" w:rsidRPr="009B60DE" w:rsidRDefault="009B60DE" w:rsidP="009B60D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60DE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118A60F2" wp14:editId="04B5EDF2">
            <wp:extent cx="5715000" cy="3218180"/>
            <wp:effectExtent l="0" t="0" r="0" b="1270"/>
            <wp:docPr id="5" name="Рисунок 5" descr="Еще один элемент техники ручной дуговой сварки: кончик электрода должен двигаться по одной из этих траекторий (или по какой-то похоже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ще один элемент техники ручной дуговой сварки: кончик электрода должен двигаться по одной из этих траекторий (или по какой-то похожей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0C" w:rsidRPr="0004023D" w:rsidRDefault="009B60DE" w:rsidP="009B60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Траектория движения электродом</w:t>
      </w:r>
    </w:p>
    <w:p w:rsidR="001F4AF9" w:rsidRPr="009B60DE" w:rsidRDefault="001F4AF9" w:rsidP="001F4A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 так </w:t>
      </w:r>
      <w:r w:rsidRPr="009B6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нужно контролировать сварную ванну. Для этого необходимо удерживать электрод на расстоянии 2-3 мм от поверхности металла и контролировать состояние и размер сварной ванны. Вот в этом и заключается мастерство сварщика.</w:t>
      </w:r>
    </w:p>
    <w:p w:rsidR="001F4AF9" w:rsidRPr="009B60DE" w:rsidRDefault="001F4AF9" w:rsidP="001F4A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6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Сложность заключается в том, что одновременно приходится контролировать несколько параметров:</w:t>
      </w:r>
    </w:p>
    <w:p w:rsidR="001F4AF9" w:rsidRPr="009B60DE" w:rsidRDefault="001F4AF9" w:rsidP="001F4AF9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6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двигать электрод по одной из показанных на фото траекторий,</w:t>
      </w:r>
    </w:p>
    <w:p w:rsidR="001F4AF9" w:rsidRPr="009B60DE" w:rsidRDefault="001F4AF9" w:rsidP="001F4AF9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6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 мере выжигания опускать его чуть ниже, сохраняя постоянное расстояние в 2-3 мм;</w:t>
      </w:r>
    </w:p>
    <w:p w:rsidR="001F4AF9" w:rsidRPr="009B60DE" w:rsidRDefault="001F4AF9" w:rsidP="001F4AF9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6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следить за размерами и состоянием сварной ванны, ускоряя или замедляя движения электродом;</w:t>
      </w:r>
    </w:p>
    <w:p w:rsidR="001F4AF9" w:rsidRPr="009B60DE" w:rsidRDefault="001F4AF9" w:rsidP="001F4AF9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B60D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следить за направлением шва.</w:t>
      </w:r>
    </w:p>
    <w:p w:rsidR="001F4AF9" w:rsidRPr="001F4AF9" w:rsidRDefault="001F4AF9" w:rsidP="009B60D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F4AF9" w:rsidRPr="001F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8A6"/>
    <w:multiLevelType w:val="multilevel"/>
    <w:tmpl w:val="63482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5435"/>
    <w:multiLevelType w:val="hybridMultilevel"/>
    <w:tmpl w:val="B9E0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66422"/>
    <w:multiLevelType w:val="multilevel"/>
    <w:tmpl w:val="6B9EE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D0FA6"/>
    <w:multiLevelType w:val="hybridMultilevel"/>
    <w:tmpl w:val="257E9A1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78"/>
    <w:rsid w:val="0004023D"/>
    <w:rsid w:val="001F4AF9"/>
    <w:rsid w:val="00762EA0"/>
    <w:rsid w:val="008F2B0C"/>
    <w:rsid w:val="00994D78"/>
    <w:rsid w:val="009B60DE"/>
    <w:rsid w:val="00B9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0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2E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402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0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2E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40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3242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455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573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039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epd-reader?publicationId=3472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3</cp:revision>
  <dcterms:created xsi:type="dcterms:W3CDTF">2020-04-04T17:53:00Z</dcterms:created>
  <dcterms:modified xsi:type="dcterms:W3CDTF">2020-04-04T18:56:00Z</dcterms:modified>
</cp:coreProperties>
</file>